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3CC2" w14:textId="57E841B6" w:rsidR="00AC4D99" w:rsidRDefault="00AC4D99"/>
    <w:p w14:paraId="3F49DABC" w14:textId="5C2048AF" w:rsidR="00051A1D" w:rsidRPr="0099746C" w:rsidRDefault="00051A1D" w:rsidP="00051A1D">
      <w:pPr>
        <w:spacing w:before="137" w:line="240" w:lineRule="auto"/>
        <w:jc w:val="center"/>
        <w:textAlignment w:val="baseline"/>
        <w:rPr>
          <w:rFonts w:ascii="Poppins" w:eastAsia="Times New Roman" w:hAnsi="Poppins" w:cs="Poppins"/>
          <w:b/>
          <w:color w:val="000000"/>
          <w:sz w:val="32"/>
          <w:szCs w:val="32"/>
        </w:rPr>
      </w:pPr>
      <w:r w:rsidRPr="0099746C">
        <w:rPr>
          <w:rFonts w:ascii="Poppins" w:eastAsia="Times New Roman" w:hAnsi="Poppins" w:cs="Poppins"/>
          <w:b/>
          <w:color w:val="000000"/>
          <w:sz w:val="32"/>
          <w:szCs w:val="32"/>
        </w:rPr>
        <w:t xml:space="preserve">Médicos y Dentistas aclaran: la reciente sentencia del Juzgado de lo Penal </w:t>
      </w:r>
      <w:proofErr w:type="spellStart"/>
      <w:r w:rsidRPr="0099746C">
        <w:rPr>
          <w:rFonts w:ascii="Poppins" w:eastAsia="Times New Roman" w:hAnsi="Poppins" w:cs="Poppins"/>
          <w:b/>
          <w:color w:val="000000"/>
          <w:sz w:val="32"/>
          <w:szCs w:val="32"/>
        </w:rPr>
        <w:t>nº</w:t>
      </w:r>
      <w:proofErr w:type="spellEnd"/>
      <w:r w:rsidRPr="0099746C">
        <w:rPr>
          <w:rFonts w:ascii="Poppins" w:eastAsia="Times New Roman" w:hAnsi="Poppins" w:cs="Poppins"/>
          <w:b/>
          <w:color w:val="000000"/>
          <w:sz w:val="32"/>
          <w:szCs w:val="32"/>
        </w:rPr>
        <w:t xml:space="preserve"> 30 de Madrid no habilita a enfermeras para infiltrar ácido hialurónico</w:t>
      </w:r>
    </w:p>
    <w:p w14:paraId="3284C719" w14:textId="77777777" w:rsidR="00051A1D" w:rsidRDefault="00051A1D" w:rsidP="00051A1D">
      <w:pPr>
        <w:rPr>
          <w:b/>
          <w:bCs/>
        </w:rPr>
      </w:pPr>
    </w:p>
    <w:p w14:paraId="76630203" w14:textId="0D1DCB0E" w:rsidR="00BD07CF" w:rsidRDefault="00051A1D" w:rsidP="00051A1D">
      <w:pPr>
        <w:pStyle w:val="Prrafodelista"/>
        <w:numPr>
          <w:ilvl w:val="0"/>
          <w:numId w:val="2"/>
        </w:numPr>
        <w:spacing w:line="240" w:lineRule="auto"/>
        <w:rPr>
          <w:rFonts w:ascii="Poppins" w:hAnsi="Poppins" w:cs="Poppins"/>
          <w:b/>
          <w:bCs/>
        </w:rPr>
      </w:pPr>
      <w:r w:rsidRPr="00051A1D">
        <w:rPr>
          <w:rFonts w:ascii="Poppins" w:hAnsi="Poppins" w:cs="Poppins"/>
          <w:b/>
          <w:bCs/>
        </w:rPr>
        <w:t xml:space="preserve">Comunicado </w:t>
      </w:r>
      <w:r w:rsidR="00656738">
        <w:rPr>
          <w:rFonts w:ascii="Poppins" w:hAnsi="Poppins" w:cs="Poppins"/>
          <w:b/>
          <w:bCs/>
        </w:rPr>
        <w:t xml:space="preserve">conjunto </w:t>
      </w:r>
      <w:r w:rsidRPr="00051A1D">
        <w:rPr>
          <w:rFonts w:ascii="Poppins" w:hAnsi="Poppins" w:cs="Poppins"/>
          <w:b/>
          <w:bCs/>
        </w:rPr>
        <w:t>sobre la competencia de los profesionales sanitarios respecto a la administración de ácido hialurónico</w:t>
      </w:r>
      <w:r>
        <w:rPr>
          <w:rFonts w:ascii="Poppins" w:hAnsi="Poppins" w:cs="Poppins"/>
          <w:b/>
          <w:bCs/>
        </w:rPr>
        <w:t>.</w:t>
      </w:r>
    </w:p>
    <w:p w14:paraId="3AEC4FB1" w14:textId="77777777" w:rsidR="00051A1D" w:rsidRPr="00051A1D" w:rsidRDefault="00051A1D" w:rsidP="00051A1D">
      <w:pPr>
        <w:pStyle w:val="Prrafodelista"/>
        <w:spacing w:line="240" w:lineRule="auto"/>
        <w:rPr>
          <w:rFonts w:ascii="Poppins" w:hAnsi="Poppins" w:cs="Poppins"/>
          <w:b/>
          <w:bCs/>
        </w:rPr>
      </w:pPr>
    </w:p>
    <w:p w14:paraId="5BF86402" w14:textId="3D378F84" w:rsidR="00931BB2" w:rsidRPr="00051A1D" w:rsidRDefault="00931BB2" w:rsidP="00051A1D">
      <w:pPr>
        <w:pStyle w:val="Prrafodelista"/>
        <w:numPr>
          <w:ilvl w:val="0"/>
          <w:numId w:val="2"/>
        </w:numPr>
        <w:spacing w:before="137" w:line="240" w:lineRule="auto"/>
        <w:jc w:val="both"/>
        <w:textAlignment w:val="baseline"/>
        <w:rPr>
          <w:rFonts w:ascii="Poppins" w:eastAsia="Times New Roman" w:hAnsi="Poppins" w:cs="Poppins"/>
          <w:b/>
          <w:color w:val="000000"/>
        </w:rPr>
      </w:pPr>
      <w:r w:rsidRPr="00051A1D">
        <w:rPr>
          <w:rFonts w:ascii="Poppins" w:eastAsia="Times New Roman" w:hAnsi="Poppins" w:cs="Poppins"/>
          <w:b/>
          <w:color w:val="000000"/>
        </w:rPr>
        <w:t>Corresponde a los médicos y a los dentistas, en determinados tratamientos bucodentales, la competencia exclusiva para la prescripción y administración del ácido hialurónico.</w:t>
      </w:r>
    </w:p>
    <w:p w14:paraId="1D63F856" w14:textId="77777777" w:rsidR="00931BB2" w:rsidRPr="00051A1D" w:rsidRDefault="00931BB2" w:rsidP="00051A1D">
      <w:pPr>
        <w:spacing w:before="137" w:line="272" w:lineRule="exact"/>
        <w:jc w:val="center"/>
        <w:textAlignment w:val="baseline"/>
        <w:rPr>
          <w:rFonts w:eastAsia="Times New Roman"/>
          <w:b/>
          <w:color w:val="000000"/>
          <w:sz w:val="24"/>
        </w:rPr>
      </w:pPr>
    </w:p>
    <w:p w14:paraId="09A57AC7" w14:textId="4F117984" w:rsidR="00457C44" w:rsidRPr="00051A1D" w:rsidRDefault="00051A1D" w:rsidP="00051A1D">
      <w:pPr>
        <w:spacing w:before="137" w:line="276" w:lineRule="auto"/>
        <w:jc w:val="both"/>
        <w:textAlignment w:val="baseline"/>
        <w:rPr>
          <w:rFonts w:ascii="Poppins" w:eastAsia="Times New Roman" w:hAnsi="Poppins" w:cs="Poppins"/>
          <w:bCs/>
          <w:color w:val="000000"/>
          <w:sz w:val="20"/>
          <w:szCs w:val="20"/>
        </w:rPr>
      </w:pPr>
      <w:r w:rsidRPr="00051A1D">
        <w:rPr>
          <w:rFonts w:ascii="Poppins" w:eastAsia="Times New Roman" w:hAnsi="Poppins" w:cs="Poppins"/>
          <w:b/>
          <w:color w:val="000000"/>
          <w:sz w:val="20"/>
          <w:szCs w:val="20"/>
        </w:rPr>
        <w:t>Madrid, 14 de octubre de 2025.</w:t>
      </w:r>
      <w:r>
        <w:rPr>
          <w:rFonts w:ascii="Poppins" w:eastAsia="Times New Roman" w:hAnsi="Poppins" w:cs="Poppins"/>
          <w:bCs/>
          <w:color w:val="000000"/>
          <w:sz w:val="20"/>
          <w:szCs w:val="20"/>
        </w:rPr>
        <w:t xml:space="preserve"> </w:t>
      </w:r>
      <w:r w:rsidR="00457C44" w:rsidRPr="00051A1D">
        <w:rPr>
          <w:rFonts w:ascii="Poppins" w:eastAsia="Times New Roman" w:hAnsi="Poppins" w:cs="Poppins"/>
          <w:bCs/>
          <w:color w:val="000000"/>
          <w:sz w:val="20"/>
          <w:szCs w:val="20"/>
        </w:rPr>
        <w:t>En relación con la reciente noticia publicada por el Consejo General de Enfermería de España relativa a las competencias para poder administrar ácido hialurónico</w:t>
      </w:r>
      <w:r w:rsidR="00C40662" w:rsidRPr="00051A1D">
        <w:rPr>
          <w:rFonts w:ascii="Poppins" w:eastAsia="Times New Roman" w:hAnsi="Poppins" w:cs="Poppins"/>
          <w:bCs/>
          <w:color w:val="000000"/>
          <w:sz w:val="20"/>
          <w:szCs w:val="20"/>
        </w:rPr>
        <w:t xml:space="preserve">, </w:t>
      </w:r>
      <w:r w:rsidR="004734FE">
        <w:rPr>
          <w:rFonts w:ascii="Poppins" w:eastAsia="Times New Roman" w:hAnsi="Poppins" w:cs="Poppins"/>
          <w:bCs/>
          <w:color w:val="000000"/>
          <w:sz w:val="20"/>
          <w:szCs w:val="20"/>
        </w:rPr>
        <w:t>la Organización Médica Colegial</w:t>
      </w:r>
      <w:r w:rsidR="00C40662" w:rsidRPr="00051A1D">
        <w:rPr>
          <w:rFonts w:ascii="Poppins" w:eastAsia="Times New Roman" w:hAnsi="Poppins" w:cs="Poppins"/>
          <w:bCs/>
          <w:color w:val="000000"/>
          <w:sz w:val="20"/>
          <w:szCs w:val="20"/>
        </w:rPr>
        <w:t xml:space="preserve"> de España</w:t>
      </w:r>
      <w:r w:rsidR="00D951F4" w:rsidRPr="00051A1D">
        <w:rPr>
          <w:rFonts w:ascii="Poppins" w:eastAsia="Times New Roman" w:hAnsi="Poppins" w:cs="Poppins"/>
          <w:bCs/>
          <w:color w:val="000000"/>
          <w:sz w:val="20"/>
          <w:szCs w:val="20"/>
        </w:rPr>
        <w:t xml:space="preserve"> y el Consejo General de Colegios Oficiales de Dentistas de España</w:t>
      </w:r>
      <w:r w:rsidR="00C40662" w:rsidRPr="00051A1D">
        <w:rPr>
          <w:rFonts w:ascii="Poppins" w:eastAsia="Times New Roman" w:hAnsi="Poppins" w:cs="Poppins"/>
          <w:bCs/>
          <w:color w:val="000000"/>
          <w:sz w:val="20"/>
          <w:szCs w:val="20"/>
        </w:rPr>
        <w:t xml:space="preserve"> nos vemos en la obligación de </w:t>
      </w:r>
      <w:r w:rsidR="00457C44" w:rsidRPr="00051A1D">
        <w:rPr>
          <w:rFonts w:ascii="Poppins" w:eastAsia="Times New Roman" w:hAnsi="Poppins" w:cs="Poppins"/>
          <w:bCs/>
          <w:color w:val="000000"/>
          <w:sz w:val="20"/>
          <w:szCs w:val="20"/>
        </w:rPr>
        <w:t xml:space="preserve">informar que del contenido de la </w:t>
      </w:r>
      <w:r w:rsidRPr="00051A1D">
        <w:rPr>
          <w:rFonts w:ascii="Poppins" w:eastAsia="Times New Roman" w:hAnsi="Poppins" w:cs="Poppins"/>
          <w:bCs/>
          <w:color w:val="000000"/>
          <w:sz w:val="20"/>
          <w:szCs w:val="20"/>
        </w:rPr>
        <w:t>s</w:t>
      </w:r>
      <w:r w:rsidR="00457C44" w:rsidRPr="00051A1D">
        <w:rPr>
          <w:rFonts w:ascii="Poppins" w:eastAsia="Times New Roman" w:hAnsi="Poppins" w:cs="Poppins"/>
          <w:bCs/>
          <w:color w:val="000000"/>
          <w:sz w:val="20"/>
          <w:szCs w:val="20"/>
        </w:rPr>
        <w:t xml:space="preserve">entencia del Juzgado de lo Penal </w:t>
      </w:r>
      <w:proofErr w:type="spellStart"/>
      <w:r w:rsidR="00457C44" w:rsidRPr="00051A1D">
        <w:rPr>
          <w:rFonts w:ascii="Poppins" w:eastAsia="Times New Roman" w:hAnsi="Poppins" w:cs="Poppins"/>
          <w:bCs/>
          <w:color w:val="000000"/>
          <w:sz w:val="20"/>
          <w:szCs w:val="20"/>
        </w:rPr>
        <w:t>nº</w:t>
      </w:r>
      <w:proofErr w:type="spellEnd"/>
      <w:r w:rsidR="00457C44" w:rsidRPr="00051A1D">
        <w:rPr>
          <w:rFonts w:ascii="Poppins" w:eastAsia="Times New Roman" w:hAnsi="Poppins" w:cs="Poppins"/>
          <w:bCs/>
          <w:color w:val="000000"/>
          <w:sz w:val="20"/>
          <w:szCs w:val="20"/>
        </w:rPr>
        <w:t xml:space="preserve"> 30 de Madrid en ningún caso </w:t>
      </w:r>
      <w:r w:rsidR="00C40662" w:rsidRPr="00051A1D">
        <w:rPr>
          <w:rFonts w:ascii="Poppins" w:eastAsia="Times New Roman" w:hAnsi="Poppins" w:cs="Poppins"/>
          <w:bCs/>
          <w:color w:val="000000"/>
          <w:sz w:val="20"/>
          <w:szCs w:val="20"/>
        </w:rPr>
        <w:t>se desprende</w:t>
      </w:r>
      <w:r w:rsidR="00457C44" w:rsidRPr="00051A1D">
        <w:rPr>
          <w:rFonts w:ascii="Poppins" w:eastAsia="Times New Roman" w:hAnsi="Poppins" w:cs="Poppins"/>
          <w:bCs/>
          <w:color w:val="000000"/>
          <w:sz w:val="20"/>
          <w:szCs w:val="20"/>
        </w:rPr>
        <w:t xml:space="preserve"> que legalmente el  personal de enfermería está autorizado para la administración de este producto sanitario.</w:t>
      </w:r>
    </w:p>
    <w:p w14:paraId="74FD4D78" w14:textId="4BE9CD17" w:rsidR="00457C44" w:rsidRPr="00051A1D" w:rsidRDefault="00457C44" w:rsidP="00051A1D">
      <w:pPr>
        <w:spacing w:before="137" w:line="276" w:lineRule="auto"/>
        <w:jc w:val="both"/>
        <w:textAlignment w:val="baseline"/>
        <w:rPr>
          <w:rFonts w:ascii="Poppins" w:eastAsia="Times New Roman" w:hAnsi="Poppins" w:cs="Poppins"/>
          <w:bCs/>
          <w:color w:val="000000"/>
          <w:sz w:val="20"/>
          <w:szCs w:val="20"/>
        </w:rPr>
      </w:pPr>
      <w:r w:rsidRPr="00051A1D">
        <w:rPr>
          <w:rFonts w:ascii="Poppins" w:eastAsia="Times New Roman" w:hAnsi="Poppins" w:cs="Poppins"/>
          <w:bCs/>
          <w:color w:val="000000"/>
          <w:sz w:val="20"/>
          <w:szCs w:val="20"/>
        </w:rPr>
        <w:t xml:space="preserve">Por parte del Consejo General de Enfermería se afirma que la justicia </w:t>
      </w:r>
      <w:r w:rsidR="00C40662" w:rsidRPr="00051A1D">
        <w:rPr>
          <w:rFonts w:ascii="Poppins" w:eastAsia="Times New Roman" w:hAnsi="Poppins" w:cs="Poppins"/>
          <w:bCs/>
          <w:color w:val="000000"/>
          <w:sz w:val="20"/>
          <w:szCs w:val="20"/>
        </w:rPr>
        <w:t>dictamina</w:t>
      </w:r>
      <w:r w:rsidRPr="00051A1D">
        <w:rPr>
          <w:rFonts w:ascii="Poppins" w:eastAsia="Times New Roman" w:hAnsi="Poppins" w:cs="Poppins"/>
          <w:bCs/>
          <w:color w:val="000000"/>
          <w:sz w:val="20"/>
          <w:szCs w:val="20"/>
        </w:rPr>
        <w:t xml:space="preserve"> qu</w:t>
      </w:r>
      <w:r w:rsidR="00C40662" w:rsidRPr="00051A1D">
        <w:rPr>
          <w:rFonts w:ascii="Poppins" w:eastAsia="Times New Roman" w:hAnsi="Poppins" w:cs="Poppins"/>
          <w:bCs/>
          <w:color w:val="000000"/>
          <w:sz w:val="20"/>
          <w:szCs w:val="20"/>
        </w:rPr>
        <w:t>e</w:t>
      </w:r>
      <w:r w:rsidRPr="00051A1D">
        <w:rPr>
          <w:rFonts w:ascii="Poppins" w:eastAsia="Times New Roman" w:hAnsi="Poppins" w:cs="Poppins"/>
          <w:bCs/>
          <w:color w:val="000000"/>
          <w:sz w:val="20"/>
          <w:szCs w:val="20"/>
        </w:rPr>
        <w:t xml:space="preserve"> las enfermeras son competentes para administrar ácido hialurónico.</w:t>
      </w:r>
      <w:r w:rsidR="0099746C">
        <w:rPr>
          <w:rFonts w:ascii="Poppins" w:eastAsia="Times New Roman" w:hAnsi="Poppins" w:cs="Poppins"/>
          <w:bCs/>
          <w:color w:val="000000"/>
          <w:sz w:val="20"/>
          <w:szCs w:val="20"/>
        </w:rPr>
        <w:t xml:space="preserve"> </w:t>
      </w:r>
      <w:r w:rsidRPr="00051A1D">
        <w:rPr>
          <w:rFonts w:ascii="Poppins" w:eastAsia="Times New Roman" w:hAnsi="Poppins" w:cs="Poppins"/>
          <w:bCs/>
          <w:color w:val="000000"/>
          <w:sz w:val="20"/>
          <w:szCs w:val="20"/>
        </w:rPr>
        <w:t xml:space="preserve">Sin embargo, de una lectura de la </w:t>
      </w:r>
      <w:r w:rsidR="00051A1D" w:rsidRPr="00051A1D">
        <w:rPr>
          <w:rFonts w:ascii="Poppins" w:eastAsia="Times New Roman" w:hAnsi="Poppins" w:cs="Poppins"/>
          <w:bCs/>
          <w:color w:val="000000"/>
          <w:sz w:val="20"/>
          <w:szCs w:val="20"/>
        </w:rPr>
        <w:t>s</w:t>
      </w:r>
      <w:r w:rsidRPr="00051A1D">
        <w:rPr>
          <w:rFonts w:ascii="Poppins" w:eastAsia="Times New Roman" w:hAnsi="Poppins" w:cs="Poppins"/>
          <w:bCs/>
          <w:color w:val="000000"/>
          <w:sz w:val="20"/>
          <w:szCs w:val="20"/>
        </w:rPr>
        <w:t>entencia en ningún caso se dice que expresamente las enfermeras puedan prescribir y administrar ácido hialurónico</w:t>
      </w:r>
      <w:r w:rsidR="00C40662" w:rsidRPr="00051A1D">
        <w:rPr>
          <w:rFonts w:ascii="Poppins" w:eastAsia="Times New Roman" w:hAnsi="Poppins" w:cs="Poppins"/>
          <w:bCs/>
          <w:color w:val="000000"/>
          <w:sz w:val="20"/>
          <w:szCs w:val="20"/>
        </w:rPr>
        <w:t xml:space="preserve"> y que dentro de sus atribuciones profesionales tengan dicha competencia adquirida.</w:t>
      </w:r>
    </w:p>
    <w:p w14:paraId="5B94A872" w14:textId="42C8D567" w:rsidR="00457C44" w:rsidRPr="00051A1D" w:rsidRDefault="00457C44" w:rsidP="00051A1D">
      <w:pPr>
        <w:spacing w:before="137" w:line="276" w:lineRule="auto"/>
        <w:jc w:val="both"/>
        <w:textAlignment w:val="baseline"/>
        <w:rPr>
          <w:rFonts w:ascii="Poppins" w:eastAsia="Times New Roman" w:hAnsi="Poppins" w:cs="Poppins"/>
          <w:bCs/>
          <w:color w:val="000000"/>
          <w:sz w:val="20"/>
          <w:szCs w:val="20"/>
        </w:rPr>
      </w:pPr>
      <w:r w:rsidRPr="00051A1D">
        <w:rPr>
          <w:rFonts w:ascii="Poppins" w:eastAsia="Times New Roman" w:hAnsi="Poppins" w:cs="Poppins"/>
          <w:bCs/>
          <w:color w:val="000000"/>
          <w:sz w:val="20"/>
          <w:szCs w:val="20"/>
        </w:rPr>
        <w:t xml:space="preserve">La </w:t>
      </w:r>
      <w:r w:rsidR="00051A1D" w:rsidRPr="00051A1D">
        <w:rPr>
          <w:rFonts w:ascii="Poppins" w:eastAsia="Times New Roman" w:hAnsi="Poppins" w:cs="Poppins"/>
          <w:bCs/>
          <w:color w:val="000000"/>
          <w:sz w:val="20"/>
          <w:szCs w:val="20"/>
        </w:rPr>
        <w:t>s</w:t>
      </w:r>
      <w:r w:rsidRPr="00051A1D">
        <w:rPr>
          <w:rFonts w:ascii="Poppins" w:eastAsia="Times New Roman" w:hAnsi="Poppins" w:cs="Poppins"/>
          <w:bCs/>
          <w:color w:val="000000"/>
          <w:sz w:val="20"/>
          <w:szCs w:val="20"/>
        </w:rPr>
        <w:t>entencia, lo que viene a interpretar</w:t>
      </w:r>
      <w:r w:rsidR="00C40662" w:rsidRPr="00051A1D">
        <w:rPr>
          <w:rFonts w:ascii="Poppins" w:eastAsia="Times New Roman" w:hAnsi="Poppins" w:cs="Poppins"/>
          <w:bCs/>
          <w:color w:val="000000"/>
          <w:sz w:val="20"/>
          <w:szCs w:val="20"/>
        </w:rPr>
        <w:t xml:space="preserve">, </w:t>
      </w:r>
      <w:r w:rsidRPr="00051A1D">
        <w:rPr>
          <w:rFonts w:ascii="Poppins" w:eastAsia="Times New Roman" w:hAnsi="Poppins" w:cs="Poppins"/>
          <w:bCs/>
          <w:color w:val="000000"/>
          <w:sz w:val="20"/>
          <w:szCs w:val="20"/>
        </w:rPr>
        <w:t xml:space="preserve">sin analizar la normativa competencial sanitaria, es que no hay una norma expresa que diga que la administración y prescripción de </w:t>
      </w:r>
      <w:r w:rsidR="00C40662" w:rsidRPr="00051A1D">
        <w:rPr>
          <w:rFonts w:ascii="Poppins" w:eastAsia="Times New Roman" w:hAnsi="Poppins" w:cs="Poppins"/>
          <w:bCs/>
          <w:color w:val="000000"/>
          <w:sz w:val="20"/>
          <w:szCs w:val="20"/>
        </w:rPr>
        <w:t>ácido</w:t>
      </w:r>
      <w:r w:rsidRPr="00051A1D">
        <w:rPr>
          <w:rFonts w:ascii="Poppins" w:eastAsia="Times New Roman" w:hAnsi="Poppins" w:cs="Poppins"/>
          <w:bCs/>
          <w:color w:val="000000"/>
          <w:sz w:val="20"/>
          <w:szCs w:val="20"/>
        </w:rPr>
        <w:t xml:space="preserve"> hi</w:t>
      </w:r>
      <w:r w:rsidR="00C40662" w:rsidRPr="00051A1D">
        <w:rPr>
          <w:rFonts w:ascii="Poppins" w:eastAsia="Times New Roman" w:hAnsi="Poppins" w:cs="Poppins"/>
          <w:bCs/>
          <w:color w:val="000000"/>
          <w:sz w:val="20"/>
          <w:szCs w:val="20"/>
        </w:rPr>
        <w:t>a</w:t>
      </w:r>
      <w:r w:rsidRPr="00051A1D">
        <w:rPr>
          <w:rFonts w:ascii="Poppins" w:eastAsia="Times New Roman" w:hAnsi="Poppins" w:cs="Poppins"/>
          <w:bCs/>
          <w:color w:val="000000"/>
          <w:sz w:val="20"/>
          <w:szCs w:val="20"/>
        </w:rPr>
        <w:t>lurónico corresponda a una profesión sanitaria en concreto.</w:t>
      </w:r>
    </w:p>
    <w:p w14:paraId="710F0077" w14:textId="28A98830" w:rsidR="00457C44" w:rsidRPr="00051A1D" w:rsidRDefault="00457C44" w:rsidP="00051A1D">
      <w:pPr>
        <w:spacing w:before="137" w:line="276" w:lineRule="auto"/>
        <w:jc w:val="both"/>
        <w:textAlignment w:val="baseline"/>
        <w:rPr>
          <w:rFonts w:ascii="Poppins" w:eastAsia="Times New Roman" w:hAnsi="Poppins" w:cs="Poppins"/>
          <w:bCs/>
          <w:color w:val="000000"/>
          <w:sz w:val="20"/>
          <w:szCs w:val="20"/>
        </w:rPr>
      </w:pPr>
      <w:r w:rsidRPr="00051A1D">
        <w:rPr>
          <w:rFonts w:ascii="Poppins" w:eastAsia="Times New Roman" w:hAnsi="Poppins" w:cs="Poppins"/>
          <w:bCs/>
          <w:color w:val="000000"/>
          <w:sz w:val="20"/>
          <w:szCs w:val="20"/>
        </w:rPr>
        <w:t xml:space="preserve">Esta interpretación de la sentencia se aleja de la normativa sanitaria que expresamente viene a determinar que corresponde a los médicos y a los </w:t>
      </w:r>
      <w:r w:rsidR="00D951F4" w:rsidRPr="00051A1D">
        <w:rPr>
          <w:rFonts w:ascii="Poppins" w:eastAsia="Times New Roman" w:hAnsi="Poppins" w:cs="Poppins"/>
          <w:bCs/>
          <w:color w:val="000000"/>
          <w:sz w:val="20"/>
          <w:szCs w:val="20"/>
        </w:rPr>
        <w:t>dentistas</w:t>
      </w:r>
      <w:r w:rsidR="00C40662" w:rsidRPr="00051A1D">
        <w:rPr>
          <w:rFonts w:ascii="Poppins" w:eastAsia="Times New Roman" w:hAnsi="Poppins" w:cs="Poppins"/>
          <w:bCs/>
          <w:color w:val="000000"/>
          <w:sz w:val="20"/>
          <w:szCs w:val="20"/>
        </w:rPr>
        <w:t>,</w:t>
      </w:r>
      <w:r w:rsidRPr="00051A1D">
        <w:rPr>
          <w:rFonts w:ascii="Poppins" w:eastAsia="Times New Roman" w:hAnsi="Poppins" w:cs="Poppins"/>
          <w:bCs/>
          <w:color w:val="000000"/>
          <w:sz w:val="20"/>
          <w:szCs w:val="20"/>
        </w:rPr>
        <w:t xml:space="preserve"> en determinados tratamientos </w:t>
      </w:r>
      <w:r w:rsidR="00C40662" w:rsidRPr="00051A1D">
        <w:rPr>
          <w:rFonts w:ascii="Poppins" w:eastAsia="Times New Roman" w:hAnsi="Poppins" w:cs="Poppins"/>
          <w:bCs/>
          <w:color w:val="000000"/>
          <w:sz w:val="20"/>
          <w:szCs w:val="20"/>
        </w:rPr>
        <w:t xml:space="preserve">bucodentales, </w:t>
      </w:r>
      <w:r w:rsidRPr="00051A1D">
        <w:rPr>
          <w:rFonts w:ascii="Poppins" w:eastAsia="Times New Roman" w:hAnsi="Poppins" w:cs="Poppins"/>
          <w:bCs/>
          <w:color w:val="000000"/>
          <w:sz w:val="20"/>
          <w:szCs w:val="20"/>
        </w:rPr>
        <w:t xml:space="preserve">la competencia exclusiva para la prescripción y administración </w:t>
      </w:r>
      <w:r w:rsidR="00C40662" w:rsidRPr="00051A1D">
        <w:rPr>
          <w:rFonts w:ascii="Poppins" w:eastAsia="Times New Roman" w:hAnsi="Poppins" w:cs="Poppins"/>
          <w:bCs/>
          <w:color w:val="000000"/>
          <w:sz w:val="20"/>
          <w:szCs w:val="20"/>
        </w:rPr>
        <w:t>del ácido hialurónico.</w:t>
      </w:r>
    </w:p>
    <w:p w14:paraId="23795A00" w14:textId="23244657" w:rsidR="0099746C" w:rsidRDefault="00457C44" w:rsidP="00051A1D">
      <w:pPr>
        <w:spacing w:before="137" w:line="276" w:lineRule="auto"/>
        <w:jc w:val="both"/>
        <w:textAlignment w:val="baseline"/>
        <w:rPr>
          <w:rFonts w:ascii="Poppins" w:eastAsia="Times New Roman" w:hAnsi="Poppins" w:cs="Poppins"/>
          <w:bCs/>
          <w:color w:val="000000"/>
          <w:sz w:val="20"/>
          <w:szCs w:val="20"/>
        </w:rPr>
      </w:pPr>
      <w:r w:rsidRPr="00051A1D">
        <w:rPr>
          <w:rFonts w:ascii="Poppins" w:eastAsia="Times New Roman" w:hAnsi="Poppins" w:cs="Poppins"/>
          <w:bCs/>
          <w:color w:val="000000"/>
          <w:sz w:val="20"/>
          <w:szCs w:val="20"/>
        </w:rPr>
        <w:t>La sentencia nos recuerda</w:t>
      </w:r>
      <w:r w:rsidR="00476A04">
        <w:rPr>
          <w:rFonts w:ascii="Poppins" w:eastAsia="Times New Roman" w:hAnsi="Poppins" w:cs="Poppins"/>
          <w:bCs/>
          <w:color w:val="000000"/>
          <w:sz w:val="20"/>
          <w:szCs w:val="20"/>
        </w:rPr>
        <w:t>,</w:t>
      </w:r>
      <w:r w:rsidRPr="00051A1D">
        <w:rPr>
          <w:rFonts w:ascii="Poppins" w:eastAsia="Times New Roman" w:hAnsi="Poppins" w:cs="Poppins"/>
          <w:bCs/>
          <w:color w:val="000000"/>
          <w:sz w:val="20"/>
          <w:szCs w:val="20"/>
        </w:rPr>
        <w:t xml:space="preserve"> en primer lugar</w:t>
      </w:r>
      <w:r w:rsidR="00476A04">
        <w:rPr>
          <w:rFonts w:ascii="Poppins" w:eastAsia="Times New Roman" w:hAnsi="Poppins" w:cs="Poppins"/>
          <w:bCs/>
          <w:color w:val="000000"/>
          <w:sz w:val="20"/>
          <w:szCs w:val="20"/>
        </w:rPr>
        <w:t>,</w:t>
      </w:r>
      <w:r w:rsidRPr="00051A1D">
        <w:rPr>
          <w:rFonts w:ascii="Poppins" w:eastAsia="Times New Roman" w:hAnsi="Poppins" w:cs="Poppins"/>
          <w:bCs/>
          <w:color w:val="000000"/>
          <w:sz w:val="20"/>
          <w:szCs w:val="20"/>
        </w:rPr>
        <w:t xml:space="preserve"> que el ácido hialurónico es un producto sanitario y no un medicamento, para posteriormente analizar la </w:t>
      </w:r>
      <w:r w:rsidR="00476A04">
        <w:rPr>
          <w:rFonts w:ascii="Poppins" w:eastAsia="Times New Roman" w:hAnsi="Poppins" w:cs="Poppins"/>
          <w:bCs/>
          <w:color w:val="000000"/>
          <w:sz w:val="20"/>
          <w:szCs w:val="20"/>
        </w:rPr>
        <w:t>s</w:t>
      </w:r>
      <w:r w:rsidRPr="00051A1D">
        <w:rPr>
          <w:rFonts w:ascii="Poppins" w:eastAsia="Times New Roman" w:hAnsi="Poppins" w:cs="Poppins"/>
          <w:bCs/>
          <w:color w:val="000000"/>
          <w:sz w:val="20"/>
          <w:szCs w:val="20"/>
        </w:rPr>
        <w:t xml:space="preserve">entencia del Tribunal Supremo STS 653/21 de 10 de mayo que anuló </w:t>
      </w:r>
      <w:r w:rsidR="00051A1D" w:rsidRPr="00051A1D">
        <w:rPr>
          <w:rFonts w:ascii="Poppins" w:eastAsia="Times New Roman" w:hAnsi="Poppins" w:cs="Poppins"/>
          <w:bCs/>
          <w:color w:val="000000"/>
          <w:sz w:val="20"/>
          <w:szCs w:val="20"/>
        </w:rPr>
        <w:t>la resolución</w:t>
      </w:r>
      <w:r w:rsidRPr="00051A1D">
        <w:rPr>
          <w:rFonts w:ascii="Poppins" w:eastAsia="Times New Roman" w:hAnsi="Poppins" w:cs="Poppins"/>
          <w:bCs/>
          <w:color w:val="000000"/>
          <w:sz w:val="20"/>
          <w:szCs w:val="20"/>
        </w:rPr>
        <w:t xml:space="preserve"> del Consejo de </w:t>
      </w:r>
    </w:p>
    <w:p w14:paraId="69020B40" w14:textId="77777777" w:rsidR="0099746C" w:rsidRDefault="0099746C" w:rsidP="00051A1D">
      <w:pPr>
        <w:spacing w:before="137" w:line="276" w:lineRule="auto"/>
        <w:jc w:val="both"/>
        <w:textAlignment w:val="baseline"/>
        <w:rPr>
          <w:rFonts w:ascii="Poppins" w:eastAsia="Times New Roman" w:hAnsi="Poppins" w:cs="Poppins"/>
          <w:bCs/>
          <w:color w:val="000000"/>
          <w:sz w:val="20"/>
          <w:szCs w:val="20"/>
        </w:rPr>
      </w:pPr>
    </w:p>
    <w:p w14:paraId="07735F4B" w14:textId="77777777" w:rsidR="00CC53EA" w:rsidRDefault="00CC53EA" w:rsidP="00051A1D">
      <w:pPr>
        <w:spacing w:before="137" w:line="276" w:lineRule="auto"/>
        <w:jc w:val="both"/>
        <w:textAlignment w:val="baseline"/>
        <w:rPr>
          <w:rFonts w:ascii="Poppins" w:eastAsia="Times New Roman" w:hAnsi="Poppins" w:cs="Poppins"/>
          <w:bCs/>
          <w:color w:val="000000"/>
          <w:sz w:val="20"/>
          <w:szCs w:val="20"/>
        </w:rPr>
      </w:pPr>
    </w:p>
    <w:p w14:paraId="339661DD" w14:textId="0C111C32" w:rsidR="008D3CE1" w:rsidRPr="00051A1D" w:rsidRDefault="00457C44" w:rsidP="00051A1D">
      <w:pPr>
        <w:spacing w:before="137" w:line="276" w:lineRule="auto"/>
        <w:jc w:val="both"/>
        <w:textAlignment w:val="baseline"/>
        <w:rPr>
          <w:rFonts w:ascii="Poppins" w:eastAsia="Times New Roman" w:hAnsi="Poppins" w:cs="Poppins"/>
          <w:bCs/>
          <w:color w:val="000000"/>
          <w:sz w:val="20"/>
          <w:szCs w:val="20"/>
        </w:rPr>
      </w:pPr>
      <w:r w:rsidRPr="00051A1D">
        <w:rPr>
          <w:rFonts w:ascii="Poppins" w:eastAsia="Times New Roman" w:hAnsi="Poppins" w:cs="Poppins"/>
          <w:bCs/>
          <w:color w:val="000000"/>
          <w:sz w:val="20"/>
          <w:szCs w:val="20"/>
        </w:rPr>
        <w:t>Enfermería que se atribuían como propias la competencia en tratamientos estéticos, incluyendo entre otros la administración de ácido hialurónico</w:t>
      </w:r>
      <w:r w:rsidR="008D3CE1" w:rsidRPr="00051A1D">
        <w:rPr>
          <w:rFonts w:ascii="Poppins" w:eastAsia="Times New Roman" w:hAnsi="Poppins" w:cs="Poppins"/>
          <w:bCs/>
          <w:color w:val="000000"/>
          <w:sz w:val="20"/>
          <w:szCs w:val="20"/>
        </w:rPr>
        <w:t>.</w:t>
      </w:r>
    </w:p>
    <w:p w14:paraId="28E340AF" w14:textId="01E382D3" w:rsidR="00457C44" w:rsidRPr="00051A1D" w:rsidRDefault="008D3CE1" w:rsidP="00051A1D">
      <w:pPr>
        <w:spacing w:before="137" w:line="276" w:lineRule="auto"/>
        <w:jc w:val="both"/>
        <w:textAlignment w:val="baseline"/>
        <w:rPr>
          <w:rFonts w:ascii="Poppins" w:eastAsia="Times New Roman" w:hAnsi="Poppins" w:cs="Poppins"/>
          <w:bCs/>
          <w:color w:val="000000"/>
          <w:sz w:val="20"/>
          <w:szCs w:val="20"/>
        </w:rPr>
      </w:pPr>
      <w:r w:rsidRPr="00051A1D">
        <w:rPr>
          <w:rFonts w:ascii="Poppins" w:eastAsia="Times New Roman" w:hAnsi="Poppins" w:cs="Poppins"/>
          <w:bCs/>
          <w:color w:val="000000"/>
          <w:sz w:val="20"/>
          <w:szCs w:val="20"/>
        </w:rPr>
        <w:t xml:space="preserve">El Tribunal Supremo, al anular la </w:t>
      </w:r>
      <w:r w:rsidR="00051A1D" w:rsidRPr="00051A1D">
        <w:rPr>
          <w:rFonts w:ascii="Poppins" w:eastAsia="Times New Roman" w:hAnsi="Poppins" w:cs="Poppins"/>
          <w:bCs/>
          <w:color w:val="000000"/>
          <w:sz w:val="20"/>
          <w:szCs w:val="20"/>
        </w:rPr>
        <w:t>r</w:t>
      </w:r>
      <w:r w:rsidRPr="00051A1D">
        <w:rPr>
          <w:rFonts w:ascii="Poppins" w:eastAsia="Times New Roman" w:hAnsi="Poppins" w:cs="Poppins"/>
          <w:bCs/>
          <w:color w:val="000000"/>
          <w:sz w:val="20"/>
          <w:szCs w:val="20"/>
        </w:rPr>
        <w:t>esolución del Consejo de Enfermería, expresamente</w:t>
      </w:r>
      <w:r w:rsidR="00457C44" w:rsidRPr="00051A1D">
        <w:rPr>
          <w:rFonts w:ascii="Poppins" w:eastAsia="Times New Roman" w:hAnsi="Poppins" w:cs="Poppins"/>
          <w:bCs/>
          <w:color w:val="000000"/>
          <w:sz w:val="20"/>
          <w:szCs w:val="20"/>
        </w:rPr>
        <w:t xml:space="preserve"> recordaba que los tratamientos estéticos corresponden en exclusiva </w:t>
      </w:r>
      <w:r w:rsidR="00D951F4" w:rsidRPr="00051A1D">
        <w:rPr>
          <w:rFonts w:ascii="Poppins" w:eastAsia="Times New Roman" w:hAnsi="Poppins" w:cs="Poppins"/>
          <w:bCs/>
          <w:color w:val="000000"/>
          <w:sz w:val="20"/>
          <w:szCs w:val="20"/>
        </w:rPr>
        <w:t>a los facultativos dentro de sus respectivos campos de actuación.</w:t>
      </w:r>
    </w:p>
    <w:p w14:paraId="61670DE0" w14:textId="55C0E5F1" w:rsidR="00457C44" w:rsidRPr="00051A1D" w:rsidRDefault="008D3CE1" w:rsidP="00051A1D">
      <w:pPr>
        <w:spacing w:before="137" w:line="276" w:lineRule="auto"/>
        <w:jc w:val="both"/>
        <w:textAlignment w:val="baseline"/>
        <w:rPr>
          <w:rFonts w:ascii="Poppins" w:eastAsia="Times New Roman" w:hAnsi="Poppins" w:cs="Poppins"/>
          <w:bCs/>
          <w:color w:val="150005"/>
          <w:spacing w:val="-2"/>
          <w:sz w:val="20"/>
          <w:szCs w:val="20"/>
        </w:rPr>
      </w:pPr>
      <w:r w:rsidRPr="00051A1D">
        <w:rPr>
          <w:rFonts w:ascii="Poppins" w:eastAsia="Times New Roman" w:hAnsi="Poppins" w:cs="Poppins"/>
          <w:bCs/>
          <w:color w:val="150005"/>
          <w:spacing w:val="-2"/>
          <w:sz w:val="20"/>
          <w:szCs w:val="20"/>
        </w:rPr>
        <w:t xml:space="preserve">Finalmente, el Juzgado de lo Penal </w:t>
      </w:r>
      <w:proofErr w:type="spellStart"/>
      <w:r w:rsidRPr="00051A1D">
        <w:rPr>
          <w:rFonts w:ascii="Poppins" w:eastAsia="Times New Roman" w:hAnsi="Poppins" w:cs="Poppins"/>
          <w:bCs/>
          <w:color w:val="150005"/>
          <w:spacing w:val="-2"/>
          <w:sz w:val="20"/>
          <w:szCs w:val="20"/>
        </w:rPr>
        <w:t>nº</w:t>
      </w:r>
      <w:proofErr w:type="spellEnd"/>
      <w:r w:rsidRPr="00051A1D">
        <w:rPr>
          <w:rFonts w:ascii="Poppins" w:eastAsia="Times New Roman" w:hAnsi="Poppins" w:cs="Poppins"/>
          <w:bCs/>
          <w:color w:val="150005"/>
          <w:spacing w:val="-2"/>
          <w:sz w:val="20"/>
          <w:szCs w:val="20"/>
        </w:rPr>
        <w:t xml:space="preserve"> 30 de Madrid absuelve </w:t>
      </w:r>
      <w:r w:rsidR="00457C44" w:rsidRPr="00051A1D">
        <w:rPr>
          <w:rFonts w:ascii="Poppins" w:eastAsia="Times New Roman" w:hAnsi="Poppins" w:cs="Poppins"/>
          <w:bCs/>
          <w:color w:val="150005"/>
          <w:spacing w:val="-2"/>
          <w:sz w:val="20"/>
          <w:szCs w:val="20"/>
        </w:rPr>
        <w:t xml:space="preserve">a las enfermeras acusadas del delito de intrusismo profesional, no porque entienda que pueden administrar ácido hialurónico, sino </w:t>
      </w:r>
      <w:r w:rsidR="00051A1D" w:rsidRPr="00051A1D">
        <w:rPr>
          <w:rFonts w:ascii="Poppins" w:eastAsia="Times New Roman" w:hAnsi="Poppins" w:cs="Poppins"/>
          <w:bCs/>
          <w:color w:val="150005"/>
          <w:spacing w:val="-2"/>
          <w:sz w:val="20"/>
          <w:szCs w:val="20"/>
        </w:rPr>
        <w:t>que,</w:t>
      </w:r>
      <w:r w:rsidR="00457C44" w:rsidRPr="00051A1D">
        <w:rPr>
          <w:rFonts w:ascii="Poppins" w:eastAsia="Times New Roman" w:hAnsi="Poppins" w:cs="Poppins"/>
          <w:bCs/>
          <w:color w:val="150005"/>
          <w:spacing w:val="-2"/>
          <w:sz w:val="20"/>
          <w:szCs w:val="20"/>
        </w:rPr>
        <w:t xml:space="preserve"> para el delito de </w:t>
      </w:r>
      <w:r w:rsidR="00051A1D" w:rsidRPr="00051A1D">
        <w:rPr>
          <w:rFonts w:ascii="Poppins" w:eastAsia="Times New Roman" w:hAnsi="Poppins" w:cs="Poppins"/>
          <w:bCs/>
          <w:color w:val="150005"/>
          <w:spacing w:val="-2"/>
          <w:sz w:val="20"/>
          <w:szCs w:val="20"/>
        </w:rPr>
        <w:t>intrusismo, es</w:t>
      </w:r>
      <w:r w:rsidR="00457C44" w:rsidRPr="00051A1D">
        <w:rPr>
          <w:rFonts w:ascii="Poppins" w:eastAsia="Times New Roman" w:hAnsi="Poppins" w:cs="Poppins"/>
          <w:bCs/>
          <w:color w:val="150005"/>
          <w:spacing w:val="-2"/>
          <w:sz w:val="20"/>
          <w:szCs w:val="20"/>
        </w:rPr>
        <w:t xml:space="preserve"> necesario que concurra el dolo, es decir, hacer un acto a sabiendas que el mismo está prohibido.</w:t>
      </w:r>
    </w:p>
    <w:p w14:paraId="498C27F6" w14:textId="4CE1982B" w:rsidR="00457C44" w:rsidRPr="00051A1D" w:rsidRDefault="00457C44" w:rsidP="00051A1D">
      <w:pPr>
        <w:spacing w:before="137" w:line="276" w:lineRule="auto"/>
        <w:jc w:val="both"/>
        <w:textAlignment w:val="baseline"/>
        <w:rPr>
          <w:rFonts w:ascii="Poppins" w:eastAsia="Times New Roman" w:hAnsi="Poppins" w:cs="Poppins"/>
          <w:bCs/>
          <w:color w:val="150005"/>
          <w:spacing w:val="-2"/>
          <w:sz w:val="20"/>
          <w:szCs w:val="20"/>
        </w:rPr>
      </w:pPr>
      <w:r w:rsidRPr="00051A1D">
        <w:rPr>
          <w:rFonts w:ascii="Poppins" w:eastAsia="Times New Roman" w:hAnsi="Poppins" w:cs="Poppins"/>
          <w:bCs/>
          <w:color w:val="150005"/>
          <w:spacing w:val="-2"/>
          <w:sz w:val="20"/>
          <w:szCs w:val="20"/>
        </w:rPr>
        <w:t xml:space="preserve">En este caso, entiende que dada la fecha de los hechos y que estaba próxima a la Sentencia del Tribunal Supremo que anulaba la </w:t>
      </w:r>
      <w:r w:rsidR="00051A1D" w:rsidRPr="00051A1D">
        <w:rPr>
          <w:rFonts w:ascii="Poppins" w:eastAsia="Times New Roman" w:hAnsi="Poppins" w:cs="Poppins"/>
          <w:bCs/>
          <w:color w:val="150005"/>
          <w:spacing w:val="-2"/>
          <w:sz w:val="20"/>
          <w:szCs w:val="20"/>
        </w:rPr>
        <w:t>r</w:t>
      </w:r>
      <w:r w:rsidRPr="00051A1D">
        <w:rPr>
          <w:rFonts w:ascii="Poppins" w:eastAsia="Times New Roman" w:hAnsi="Poppins" w:cs="Poppins"/>
          <w:bCs/>
          <w:color w:val="150005"/>
          <w:spacing w:val="-2"/>
          <w:sz w:val="20"/>
          <w:szCs w:val="20"/>
        </w:rPr>
        <w:t xml:space="preserve">esolución del Consejo de Enfermería, </w:t>
      </w:r>
      <w:r w:rsidR="008D3CE1" w:rsidRPr="00051A1D">
        <w:rPr>
          <w:rFonts w:ascii="Poppins" w:eastAsia="Times New Roman" w:hAnsi="Poppins" w:cs="Poppins"/>
          <w:bCs/>
          <w:color w:val="150005"/>
          <w:spacing w:val="-2"/>
          <w:sz w:val="20"/>
          <w:szCs w:val="20"/>
        </w:rPr>
        <w:t xml:space="preserve">absuelve a las enfermeras al considerar que </w:t>
      </w:r>
      <w:r w:rsidRPr="00051A1D">
        <w:rPr>
          <w:rFonts w:ascii="Poppins" w:eastAsia="Times New Roman" w:hAnsi="Poppins" w:cs="Poppins"/>
          <w:bCs/>
          <w:color w:val="150005"/>
          <w:spacing w:val="-2"/>
          <w:sz w:val="20"/>
          <w:szCs w:val="20"/>
        </w:rPr>
        <w:t>no tenían por</w:t>
      </w:r>
      <w:r w:rsidR="00051A1D" w:rsidRPr="00051A1D">
        <w:rPr>
          <w:rFonts w:ascii="Poppins" w:eastAsia="Times New Roman" w:hAnsi="Poppins" w:cs="Poppins"/>
          <w:bCs/>
          <w:color w:val="150005"/>
          <w:spacing w:val="-2"/>
          <w:sz w:val="20"/>
          <w:szCs w:val="20"/>
        </w:rPr>
        <w:t xml:space="preserve"> </w:t>
      </w:r>
      <w:r w:rsidRPr="00051A1D">
        <w:rPr>
          <w:rFonts w:ascii="Poppins" w:eastAsia="Times New Roman" w:hAnsi="Poppins" w:cs="Poppins"/>
          <w:bCs/>
          <w:color w:val="150005"/>
          <w:spacing w:val="-2"/>
          <w:sz w:val="20"/>
          <w:szCs w:val="20"/>
        </w:rPr>
        <w:t>qu</w:t>
      </w:r>
      <w:r w:rsidR="00051A1D" w:rsidRPr="00051A1D">
        <w:rPr>
          <w:rFonts w:ascii="Poppins" w:eastAsia="Times New Roman" w:hAnsi="Poppins" w:cs="Poppins"/>
          <w:bCs/>
          <w:color w:val="150005"/>
          <w:spacing w:val="-2"/>
          <w:sz w:val="20"/>
          <w:szCs w:val="20"/>
        </w:rPr>
        <w:t>é</w:t>
      </w:r>
      <w:r w:rsidRPr="00051A1D">
        <w:rPr>
          <w:rFonts w:ascii="Poppins" w:eastAsia="Times New Roman" w:hAnsi="Poppins" w:cs="Poppins"/>
          <w:bCs/>
          <w:color w:val="150005"/>
          <w:spacing w:val="-2"/>
          <w:sz w:val="20"/>
          <w:szCs w:val="20"/>
        </w:rPr>
        <w:t xml:space="preserve"> conocer la misma, motivo por el cual entiende que la actuación no fue dolosa.</w:t>
      </w:r>
    </w:p>
    <w:p w14:paraId="547192D0" w14:textId="5385E7EB" w:rsidR="00457C44" w:rsidRPr="00051A1D" w:rsidRDefault="00457C44" w:rsidP="00051A1D">
      <w:pPr>
        <w:spacing w:before="137" w:line="276" w:lineRule="auto"/>
        <w:jc w:val="both"/>
        <w:textAlignment w:val="baseline"/>
        <w:rPr>
          <w:rFonts w:ascii="Poppins" w:eastAsia="Times New Roman" w:hAnsi="Poppins" w:cs="Poppins"/>
          <w:bCs/>
          <w:color w:val="150005"/>
          <w:spacing w:val="-2"/>
          <w:sz w:val="20"/>
          <w:szCs w:val="20"/>
        </w:rPr>
      </w:pPr>
      <w:r w:rsidRPr="00051A1D">
        <w:rPr>
          <w:rFonts w:ascii="Poppins" w:eastAsia="Times New Roman" w:hAnsi="Poppins" w:cs="Poppins"/>
          <w:bCs/>
          <w:color w:val="150005"/>
          <w:spacing w:val="-2"/>
          <w:sz w:val="20"/>
          <w:szCs w:val="20"/>
        </w:rPr>
        <w:t xml:space="preserve">Por tanto, en ningún caso la Sentencia del Juzgado de lo Penal </w:t>
      </w:r>
      <w:proofErr w:type="spellStart"/>
      <w:r w:rsidRPr="00051A1D">
        <w:rPr>
          <w:rFonts w:ascii="Poppins" w:eastAsia="Times New Roman" w:hAnsi="Poppins" w:cs="Poppins"/>
          <w:bCs/>
          <w:color w:val="150005"/>
          <w:spacing w:val="-2"/>
          <w:sz w:val="20"/>
          <w:szCs w:val="20"/>
        </w:rPr>
        <w:t>nº</w:t>
      </w:r>
      <w:proofErr w:type="spellEnd"/>
      <w:r w:rsidRPr="00051A1D">
        <w:rPr>
          <w:rFonts w:ascii="Poppins" w:eastAsia="Times New Roman" w:hAnsi="Poppins" w:cs="Poppins"/>
          <w:bCs/>
          <w:color w:val="150005"/>
          <w:spacing w:val="-2"/>
          <w:sz w:val="20"/>
          <w:szCs w:val="20"/>
        </w:rPr>
        <w:t xml:space="preserve"> 30 de Madrid, que no es firme, entiend</w:t>
      </w:r>
      <w:r w:rsidR="008D3CE1" w:rsidRPr="00051A1D">
        <w:rPr>
          <w:rFonts w:ascii="Poppins" w:eastAsia="Times New Roman" w:hAnsi="Poppins" w:cs="Poppins"/>
          <w:bCs/>
          <w:color w:val="150005"/>
          <w:spacing w:val="-2"/>
          <w:sz w:val="20"/>
          <w:szCs w:val="20"/>
        </w:rPr>
        <w:t>e</w:t>
      </w:r>
      <w:r w:rsidRPr="00051A1D">
        <w:rPr>
          <w:rFonts w:ascii="Poppins" w:eastAsia="Times New Roman" w:hAnsi="Poppins" w:cs="Poppins"/>
          <w:bCs/>
          <w:color w:val="150005"/>
          <w:spacing w:val="-2"/>
          <w:sz w:val="20"/>
          <w:szCs w:val="20"/>
        </w:rPr>
        <w:t xml:space="preserve"> que las enfermeras puedan realizar tratamientos estéticos como la administración de ácido hialurónico, sino </w:t>
      </w:r>
      <w:r w:rsidR="00051A1D" w:rsidRPr="00051A1D">
        <w:rPr>
          <w:rFonts w:ascii="Poppins" w:eastAsia="Times New Roman" w:hAnsi="Poppins" w:cs="Poppins"/>
          <w:bCs/>
          <w:color w:val="150005"/>
          <w:spacing w:val="-2"/>
          <w:sz w:val="20"/>
          <w:szCs w:val="20"/>
        </w:rPr>
        <w:t>que,</w:t>
      </w:r>
      <w:r w:rsidRPr="00051A1D">
        <w:rPr>
          <w:rFonts w:ascii="Poppins" w:eastAsia="Times New Roman" w:hAnsi="Poppins" w:cs="Poppins"/>
          <w:bCs/>
          <w:color w:val="150005"/>
          <w:spacing w:val="-2"/>
          <w:sz w:val="20"/>
          <w:szCs w:val="20"/>
        </w:rPr>
        <w:t xml:space="preserve"> en este caso, al no concurrir dolo por parte de las enfermeras, no se les puede condenar por un acto que corresponde en exclusiva a los médicos y </w:t>
      </w:r>
      <w:r w:rsidR="00931BB2" w:rsidRPr="00051A1D">
        <w:rPr>
          <w:rFonts w:ascii="Poppins" w:eastAsia="Times New Roman" w:hAnsi="Poppins" w:cs="Poppins"/>
          <w:bCs/>
          <w:color w:val="150005"/>
          <w:spacing w:val="-2"/>
          <w:sz w:val="20"/>
          <w:szCs w:val="20"/>
        </w:rPr>
        <w:t xml:space="preserve">dentistas </w:t>
      </w:r>
      <w:r w:rsidRPr="00051A1D">
        <w:rPr>
          <w:rFonts w:ascii="Poppins" w:eastAsia="Times New Roman" w:hAnsi="Poppins" w:cs="Poppins"/>
          <w:bCs/>
          <w:color w:val="150005"/>
          <w:spacing w:val="-2"/>
          <w:sz w:val="20"/>
          <w:szCs w:val="20"/>
        </w:rPr>
        <w:t>dentro de sus competencias legalmente atribuidas.</w:t>
      </w:r>
    </w:p>
    <w:p w14:paraId="010509B0" w14:textId="77777777" w:rsidR="00051A1D" w:rsidRPr="00E213FC" w:rsidRDefault="00051A1D" w:rsidP="00051A1D">
      <w:pPr>
        <w:pStyle w:val="Default"/>
        <w:spacing w:line="360" w:lineRule="auto"/>
        <w:rPr>
          <w:rFonts w:ascii="Poppins" w:hAnsi="Poppins" w:cs="Poppins"/>
          <w:b/>
          <w:bCs/>
          <w:color w:val="385623"/>
          <w:sz w:val="18"/>
          <w:szCs w:val="18"/>
        </w:rPr>
      </w:pPr>
      <w:r w:rsidRPr="0068113D">
        <w:rPr>
          <w:rFonts w:ascii="Poppins" w:hAnsi="Poppins" w:cs="Poppins"/>
          <w:b/>
          <w:bCs/>
          <w:color w:val="385623"/>
          <w:sz w:val="16"/>
          <w:szCs w:val="16"/>
        </w:rPr>
        <w:t xml:space="preserve">Consejo General de Colegios de Dentistas de España </w:t>
      </w:r>
      <w:r w:rsidRPr="00E213FC">
        <w:rPr>
          <w:rFonts w:ascii="Poppins" w:hAnsi="Poppins" w:cs="Poppins"/>
          <w:b/>
          <w:bCs/>
          <w:color w:val="385623"/>
          <w:sz w:val="18"/>
          <w:szCs w:val="18"/>
        </w:rPr>
        <w:t xml:space="preserve"> </w:t>
      </w:r>
    </w:p>
    <w:p w14:paraId="395161B5" w14:textId="77777777" w:rsidR="00051A1D" w:rsidRDefault="00051A1D" w:rsidP="00051A1D">
      <w:pPr>
        <w:jc w:val="both"/>
        <w:rPr>
          <w:rFonts w:ascii="Poppins" w:hAnsi="Poppins" w:cs="Poppins"/>
          <w:i/>
          <w:color w:val="808080"/>
          <w:sz w:val="16"/>
          <w:szCs w:val="16"/>
        </w:rPr>
      </w:pPr>
      <w:r w:rsidRPr="0068113D">
        <w:rPr>
          <w:rFonts w:ascii="Poppins" w:hAnsi="Poppins" w:cs="Poppins"/>
          <w:i/>
          <w:color w:val="808080"/>
          <w:sz w:val="16"/>
          <w:szCs w:val="16"/>
        </w:rPr>
        <w:t>Creado en el año 1930, es el Órgano ejecutivo de la Organización Colegial de Dentistas. Entre sus competencias destacan la coordinación de la política general de la Organización Colegial, la ordenación del ejercicio de la profesión, la representación y la defensa de los intereses de sus profesionales, y la promoción del derecho a la salud odontológica de los españoles. Es también competencia del Consejo General la elaboración, desarrollo y actualización del Código Ético y Deontológico estatal de la profesión, así como de la promoción social, científica, cultural y laboral de la Odontología y la Estomatología.</w:t>
      </w:r>
    </w:p>
    <w:p w14:paraId="6F6B3C2A" w14:textId="729CDF85" w:rsidR="004734FE" w:rsidRPr="00855944" w:rsidRDefault="004734FE" w:rsidP="004734FE">
      <w:pPr>
        <w:pStyle w:val="Default"/>
        <w:spacing w:line="360" w:lineRule="auto"/>
        <w:rPr>
          <w:rFonts w:ascii="Poppins" w:hAnsi="Poppins" w:cs="Poppins"/>
          <w:b/>
          <w:bCs/>
          <w:color w:val="FFC000"/>
          <w:sz w:val="18"/>
          <w:szCs w:val="18"/>
        </w:rPr>
      </w:pPr>
      <w:r w:rsidRPr="00855944">
        <w:rPr>
          <w:rFonts w:ascii="Poppins" w:hAnsi="Poppins" w:cs="Poppins"/>
          <w:b/>
          <w:bCs/>
          <w:color w:val="FFC000"/>
          <w:sz w:val="16"/>
          <w:szCs w:val="16"/>
        </w:rPr>
        <w:t xml:space="preserve">Organización Médica Colegial de España </w:t>
      </w:r>
      <w:r w:rsidRPr="00855944">
        <w:rPr>
          <w:rFonts w:ascii="Poppins" w:hAnsi="Poppins" w:cs="Poppins"/>
          <w:b/>
          <w:bCs/>
          <w:color w:val="FFC000"/>
          <w:sz w:val="18"/>
          <w:szCs w:val="18"/>
        </w:rPr>
        <w:t xml:space="preserve"> </w:t>
      </w:r>
    </w:p>
    <w:p w14:paraId="5B9E9FF4" w14:textId="0448DFED" w:rsidR="004734FE" w:rsidRPr="004734FE" w:rsidRDefault="004734FE" w:rsidP="00051A1D">
      <w:pPr>
        <w:jc w:val="both"/>
        <w:rPr>
          <w:rFonts w:ascii="Poppins" w:hAnsi="Poppins" w:cs="Poppins"/>
          <w:bCs/>
          <w:i/>
          <w:iCs/>
          <w:color w:val="808080" w:themeColor="background1" w:themeShade="80"/>
          <w:sz w:val="16"/>
          <w:szCs w:val="16"/>
        </w:rPr>
      </w:pPr>
      <w:r w:rsidRPr="004734FE">
        <w:rPr>
          <w:rFonts w:ascii="Poppins" w:hAnsi="Poppins" w:cs="Poppins"/>
          <w:bCs/>
          <w:i/>
          <w:iCs/>
          <w:color w:val="808080" w:themeColor="background1" w:themeShade="80"/>
          <w:sz w:val="16"/>
          <w:szCs w:val="16"/>
        </w:rPr>
        <w:t>La Organización Médica Colegial (OMC) es la corporación de derecho público en España encargada de ordenar, representar y defender la profesión médica. Su labor incluye la salvaguarda de los principios éticos y deontológicos de la profesión, la colaboración con los poderes públicos para garantizar la salud de los ciudadanos y la promoción de la formación continua de los profesionales.</w:t>
      </w:r>
    </w:p>
    <w:p w14:paraId="312AFD45" w14:textId="2A45E286" w:rsidR="00931BB2" w:rsidRPr="00C40662" w:rsidRDefault="00931BB2" w:rsidP="00C40662">
      <w:pPr>
        <w:jc w:val="both"/>
        <w:rPr>
          <w:bCs/>
        </w:rPr>
      </w:pPr>
    </w:p>
    <w:sectPr w:rsidR="00931BB2" w:rsidRPr="00C4066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892D" w14:textId="77777777" w:rsidR="00043D95" w:rsidRDefault="00043D95" w:rsidP="0099746C">
      <w:pPr>
        <w:spacing w:after="0" w:line="240" w:lineRule="auto"/>
      </w:pPr>
      <w:r>
        <w:separator/>
      </w:r>
    </w:p>
  </w:endnote>
  <w:endnote w:type="continuationSeparator" w:id="0">
    <w:p w14:paraId="04FA1CD0" w14:textId="77777777" w:rsidR="00043D95" w:rsidRDefault="00043D95" w:rsidP="0099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733C" w14:textId="77777777" w:rsidR="00043D95" w:rsidRDefault="00043D95" w:rsidP="0099746C">
      <w:pPr>
        <w:spacing w:after="0" w:line="240" w:lineRule="auto"/>
      </w:pPr>
      <w:r>
        <w:separator/>
      </w:r>
    </w:p>
  </w:footnote>
  <w:footnote w:type="continuationSeparator" w:id="0">
    <w:p w14:paraId="662A12C7" w14:textId="77777777" w:rsidR="00043D95" w:rsidRDefault="00043D95" w:rsidP="00997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3A06" w14:textId="3CF20E19" w:rsidR="0099746C" w:rsidRDefault="0099746C">
    <w:pPr>
      <w:pStyle w:val="Encabezado"/>
    </w:pPr>
    <w:r>
      <w:rPr>
        <w:noProof/>
      </w:rPr>
      <w:drawing>
        <wp:anchor distT="0" distB="0" distL="114300" distR="114300" simplePos="0" relativeHeight="251659264" behindDoc="0" locked="0" layoutInCell="1" allowOverlap="1" wp14:anchorId="441347A5" wp14:editId="7665D5BA">
          <wp:simplePos x="0" y="0"/>
          <wp:positionH relativeFrom="column">
            <wp:posOffset>2714625</wp:posOffset>
          </wp:positionH>
          <wp:positionV relativeFrom="paragraph">
            <wp:posOffset>-196215</wp:posOffset>
          </wp:positionV>
          <wp:extent cx="3093720" cy="628276"/>
          <wp:effectExtent l="0" t="0" r="0" b="635"/>
          <wp:wrapNone/>
          <wp:docPr id="1864385548" name="Imagen 2"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85548" name="Imagen 2" descr="Texto, Ca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093720" cy="6282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BAA939" wp14:editId="3BC52D11">
          <wp:simplePos x="0" y="0"/>
          <wp:positionH relativeFrom="column">
            <wp:posOffset>-317500</wp:posOffset>
          </wp:positionH>
          <wp:positionV relativeFrom="paragraph">
            <wp:posOffset>-199390</wp:posOffset>
          </wp:positionV>
          <wp:extent cx="1737360" cy="641704"/>
          <wp:effectExtent l="0" t="0" r="0" b="6350"/>
          <wp:wrapNone/>
          <wp:docPr id="1473232952"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32952" name="Imagen 1" descr="Una señal de al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737360" cy="641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54EE"/>
    <w:multiLevelType w:val="hybridMultilevel"/>
    <w:tmpl w:val="54BE6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AD3BD4"/>
    <w:multiLevelType w:val="hybridMultilevel"/>
    <w:tmpl w:val="F1D4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93965113">
    <w:abstractNumId w:val="1"/>
  </w:num>
  <w:num w:numId="2" w16cid:durableId="20876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F9"/>
    <w:rsid w:val="00043D95"/>
    <w:rsid w:val="00051A1D"/>
    <w:rsid w:val="000713E2"/>
    <w:rsid w:val="000742BA"/>
    <w:rsid w:val="001A0B10"/>
    <w:rsid w:val="003B6A66"/>
    <w:rsid w:val="003B7A02"/>
    <w:rsid w:val="00457C44"/>
    <w:rsid w:val="004734FE"/>
    <w:rsid w:val="00476A04"/>
    <w:rsid w:val="0055788A"/>
    <w:rsid w:val="005C5BFA"/>
    <w:rsid w:val="00656738"/>
    <w:rsid w:val="006D6B1E"/>
    <w:rsid w:val="00855944"/>
    <w:rsid w:val="008D3CE1"/>
    <w:rsid w:val="00904DAB"/>
    <w:rsid w:val="00931BB2"/>
    <w:rsid w:val="0098796E"/>
    <w:rsid w:val="009926A7"/>
    <w:rsid w:val="0099746C"/>
    <w:rsid w:val="00A02177"/>
    <w:rsid w:val="00AC4D99"/>
    <w:rsid w:val="00B735D5"/>
    <w:rsid w:val="00BA0C22"/>
    <w:rsid w:val="00BD07CF"/>
    <w:rsid w:val="00BE06BB"/>
    <w:rsid w:val="00C40662"/>
    <w:rsid w:val="00CC53EA"/>
    <w:rsid w:val="00D951F4"/>
    <w:rsid w:val="00DC60F9"/>
    <w:rsid w:val="00E83C8B"/>
    <w:rsid w:val="00EE211A"/>
    <w:rsid w:val="00F932A9"/>
    <w:rsid w:val="00FE7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816C5"/>
  <w15:chartTrackingRefBased/>
  <w15:docId w15:val="{959DE06E-269E-4E32-AD38-10C581AD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6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C6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60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60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C60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C60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60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0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0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0F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C60F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C60F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C60F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C60F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C60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0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0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0F9"/>
    <w:rPr>
      <w:rFonts w:eastAsiaTheme="majorEastAsia" w:cstheme="majorBidi"/>
      <w:color w:val="272727" w:themeColor="text1" w:themeTint="D8"/>
    </w:rPr>
  </w:style>
  <w:style w:type="paragraph" w:styleId="Ttulo">
    <w:name w:val="Title"/>
    <w:basedOn w:val="Normal"/>
    <w:next w:val="Normal"/>
    <w:link w:val="TtuloCar"/>
    <w:uiPriority w:val="10"/>
    <w:qFormat/>
    <w:rsid w:val="00DC6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60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0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60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0F9"/>
    <w:pPr>
      <w:spacing w:before="160"/>
      <w:jc w:val="center"/>
    </w:pPr>
    <w:rPr>
      <w:i/>
      <w:iCs/>
      <w:color w:val="404040" w:themeColor="text1" w:themeTint="BF"/>
    </w:rPr>
  </w:style>
  <w:style w:type="character" w:customStyle="1" w:styleId="CitaCar">
    <w:name w:val="Cita Car"/>
    <w:basedOn w:val="Fuentedeprrafopredeter"/>
    <w:link w:val="Cita"/>
    <w:uiPriority w:val="29"/>
    <w:rsid w:val="00DC60F9"/>
    <w:rPr>
      <w:i/>
      <w:iCs/>
      <w:color w:val="404040" w:themeColor="text1" w:themeTint="BF"/>
    </w:rPr>
  </w:style>
  <w:style w:type="paragraph" w:styleId="Prrafodelista">
    <w:name w:val="List Paragraph"/>
    <w:basedOn w:val="Normal"/>
    <w:uiPriority w:val="34"/>
    <w:qFormat/>
    <w:rsid w:val="00DC60F9"/>
    <w:pPr>
      <w:ind w:left="720"/>
      <w:contextualSpacing/>
    </w:pPr>
  </w:style>
  <w:style w:type="character" w:styleId="nfasisintenso">
    <w:name w:val="Intense Emphasis"/>
    <w:basedOn w:val="Fuentedeprrafopredeter"/>
    <w:uiPriority w:val="21"/>
    <w:qFormat/>
    <w:rsid w:val="00DC60F9"/>
    <w:rPr>
      <w:i/>
      <w:iCs/>
      <w:color w:val="2F5496" w:themeColor="accent1" w:themeShade="BF"/>
    </w:rPr>
  </w:style>
  <w:style w:type="paragraph" w:styleId="Citadestacada">
    <w:name w:val="Intense Quote"/>
    <w:basedOn w:val="Normal"/>
    <w:next w:val="Normal"/>
    <w:link w:val="CitadestacadaCar"/>
    <w:uiPriority w:val="30"/>
    <w:qFormat/>
    <w:rsid w:val="00DC6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C60F9"/>
    <w:rPr>
      <w:i/>
      <w:iCs/>
      <w:color w:val="2F5496" w:themeColor="accent1" w:themeShade="BF"/>
    </w:rPr>
  </w:style>
  <w:style w:type="character" w:styleId="Referenciaintensa">
    <w:name w:val="Intense Reference"/>
    <w:basedOn w:val="Fuentedeprrafopredeter"/>
    <w:uiPriority w:val="32"/>
    <w:qFormat/>
    <w:rsid w:val="00DC60F9"/>
    <w:rPr>
      <w:b/>
      <w:bCs/>
      <w:smallCaps/>
      <w:color w:val="2F5496" w:themeColor="accent1" w:themeShade="BF"/>
      <w:spacing w:val="5"/>
    </w:rPr>
  </w:style>
  <w:style w:type="paragraph" w:styleId="Revisin">
    <w:name w:val="Revision"/>
    <w:hidden/>
    <w:uiPriority w:val="99"/>
    <w:semiHidden/>
    <w:rsid w:val="00D951F4"/>
    <w:pPr>
      <w:spacing w:after="0" w:line="240" w:lineRule="auto"/>
    </w:pPr>
  </w:style>
  <w:style w:type="paragraph" w:customStyle="1" w:styleId="Default">
    <w:name w:val="Default"/>
    <w:rsid w:val="00051A1D"/>
    <w:pPr>
      <w:autoSpaceDE w:val="0"/>
      <w:autoSpaceDN w:val="0"/>
      <w:adjustRightInd w:val="0"/>
      <w:spacing w:after="0" w:line="240" w:lineRule="auto"/>
    </w:pPr>
    <w:rPr>
      <w:rFonts w:ascii="Century Gothic" w:eastAsia="Calibri" w:hAnsi="Century Gothic" w:cs="Century Gothic"/>
      <w:color w:val="000000"/>
      <w:sz w:val="24"/>
      <w:szCs w:val="24"/>
      <w:lang w:eastAsia="es-ES"/>
    </w:rPr>
  </w:style>
  <w:style w:type="paragraph" w:styleId="Encabezado">
    <w:name w:val="header"/>
    <w:basedOn w:val="Normal"/>
    <w:link w:val="EncabezadoCar"/>
    <w:uiPriority w:val="99"/>
    <w:unhideWhenUsed/>
    <w:rsid w:val="009974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46C"/>
  </w:style>
  <w:style w:type="paragraph" w:styleId="Piedepgina">
    <w:name w:val="footer"/>
    <w:basedOn w:val="Normal"/>
    <w:link w:val="PiedepginaCar"/>
    <w:uiPriority w:val="99"/>
    <w:unhideWhenUsed/>
    <w:rsid w:val="009974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719</Words>
  <Characters>3957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Montalvo Rebuelta</dc:creator>
  <cp:keywords/>
  <dc:description/>
  <cp:lastModifiedBy>Álvaro García Torres</cp:lastModifiedBy>
  <cp:revision>4</cp:revision>
  <cp:lastPrinted>2025-10-13T12:24:00Z</cp:lastPrinted>
  <dcterms:created xsi:type="dcterms:W3CDTF">2025-10-13T14:45:00Z</dcterms:created>
  <dcterms:modified xsi:type="dcterms:W3CDTF">2025-10-14T07:16:00Z</dcterms:modified>
</cp:coreProperties>
</file>